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8D" w:rsidRPr="00DD318D" w:rsidRDefault="00DD318D" w:rsidP="00DD318D">
      <w:pPr>
        <w:spacing w:after="300" w:line="240" w:lineRule="auto"/>
        <w:rPr>
          <w:rFonts w:ascii="Open Sans" w:eastAsia="Times New Roman" w:hAnsi="Open Sans" w:cs="Times New Roman"/>
          <w:color w:val="393939"/>
          <w:sz w:val="20"/>
          <w:szCs w:val="20"/>
          <w:lang w:eastAsia="ru-RU"/>
        </w:rPr>
      </w:pPr>
      <w:r w:rsidRPr="00DD318D">
        <w:rPr>
          <w:rFonts w:ascii="Open Sans" w:eastAsia="Times New Roman" w:hAnsi="Open Sans" w:cs="Times New Roman"/>
          <w:color w:val="393939"/>
          <w:sz w:val="20"/>
          <w:szCs w:val="20"/>
          <w:lang w:eastAsia="ru-RU"/>
        </w:rPr>
        <w:fldChar w:fldCharType="begin"/>
      </w:r>
      <w:r w:rsidRPr="00DD318D">
        <w:rPr>
          <w:rFonts w:ascii="Open Sans" w:eastAsia="Times New Roman" w:hAnsi="Open Sans" w:cs="Times New Roman"/>
          <w:color w:val="393939"/>
          <w:sz w:val="20"/>
          <w:szCs w:val="20"/>
          <w:lang w:eastAsia="ru-RU"/>
        </w:rPr>
        <w:instrText xml:space="preserve"> HYPERLINK "https://media.75.ru/mogoytuy/documents/201829/_o_vyplatah_svo_drova.pdf" \t "_blank" </w:instrText>
      </w:r>
      <w:r w:rsidRPr="00DD318D">
        <w:rPr>
          <w:rFonts w:ascii="Open Sans" w:eastAsia="Times New Roman" w:hAnsi="Open Sans" w:cs="Times New Roman"/>
          <w:color w:val="393939"/>
          <w:sz w:val="20"/>
          <w:szCs w:val="20"/>
          <w:lang w:eastAsia="ru-RU"/>
        </w:rPr>
        <w:fldChar w:fldCharType="separate"/>
      </w:r>
      <w:r w:rsidRPr="00DD318D">
        <w:rPr>
          <w:rFonts w:ascii="Open Sans" w:eastAsia="Times New Roman" w:hAnsi="Open Sans" w:cs="Times New Roman"/>
          <w:color w:val="428BCA"/>
          <w:sz w:val="20"/>
          <w:szCs w:val="20"/>
          <w:lang w:eastAsia="ru-RU"/>
        </w:rPr>
        <w:br/>
      </w:r>
      <w:r w:rsidRPr="00DD318D">
        <w:rPr>
          <w:rFonts w:ascii="Open Sans" w:eastAsia="Times New Roman" w:hAnsi="Open Sans" w:cs="Times New Roman"/>
          <w:color w:val="428BCA"/>
          <w:sz w:val="20"/>
          <w:lang w:eastAsia="ru-RU"/>
        </w:rPr>
        <w:t>https://media.75.ru/mogoytuy/documents/201829/_o_vyplatah_svo_drova.pdf</w:t>
      </w:r>
      <w:r w:rsidRPr="00DD318D">
        <w:rPr>
          <w:rFonts w:ascii="Open Sans" w:eastAsia="Times New Roman" w:hAnsi="Open Sans" w:cs="Times New Roman"/>
          <w:color w:val="393939"/>
          <w:sz w:val="20"/>
          <w:szCs w:val="20"/>
          <w:lang w:eastAsia="ru-RU"/>
        </w:rPr>
        <w:fldChar w:fldCharType="end"/>
      </w:r>
      <w:r w:rsidRPr="00DD318D">
        <w:rPr>
          <w:rFonts w:ascii="Open Sans" w:eastAsia="Times New Roman" w:hAnsi="Open Sans" w:cs="Times New Roman"/>
          <w:color w:val="393939"/>
          <w:sz w:val="20"/>
          <w:szCs w:val="20"/>
          <w:lang w:eastAsia="ru-RU"/>
        </w:rPr>
        <w:t> </w:t>
      </w:r>
    </w:p>
    <w:p w:rsidR="00DD318D" w:rsidRDefault="00DD318D" w:rsidP="00DD318D">
      <w:pPr>
        <w:pStyle w:val="a4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304800" cy="304800"/>
            <wp:effectExtent l="19050" t="0" r="0" b="0"/>
            <wp:docPr id="1" name="Рисунок 1" descr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i/>
          <w:iCs/>
          <w:color w:val="222222"/>
        </w:rPr>
        <w:t>О результатах прокурорского надзора в сфере регионального и муниципального правотворчества на территории Дальнего Востока</w:t>
      </w:r>
    </w:p>
    <w:p w:rsidR="00DD318D" w:rsidRDefault="00DD318D" w:rsidP="00DD318D">
      <w:pPr>
        <w:pStyle w:val="a4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рамках реализации права законодательной инициативы прокурорами дальневосточных регионов в текущем году органами власти приняты 986 нормативных правовых актов.</w:t>
      </w:r>
    </w:p>
    <w:p w:rsidR="00DD318D" w:rsidRDefault="00DD318D" w:rsidP="00DD318D">
      <w:pPr>
        <w:pStyle w:val="a4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Предложенные изменения в законы Хабаровского края и Амурской области позволили сократить срок рассмотрения органами государственной власти края обращений участников специальной военной операции и членов их семей по вопросам мер социальной поддержки, расширить круг граждан, имеющих право на внеочередной личный прием в государственных органах, органах местного самоуправления, организациях, лицами, призванными на военную службу по мобилизации в Вооруженные Силы Российской Федерации.</w:t>
      </w:r>
      <w:proofErr w:type="gramEnd"/>
    </w:p>
    <w:p w:rsidR="00DD318D" w:rsidRDefault="00DD318D" w:rsidP="00DD318D">
      <w:pPr>
        <w:pStyle w:val="a4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По инициативе прокурора Забайкальского края принят закон, согласно которому комиссии по делам несовершеннолетних и защите их прав выступят координаторами проведения органами и учреждениями системы профилактики и правонарушений подростков индивидуальной профилактической работы в отношении детей, проживающих в семьях с лицами, имеющими судимость за совершение тяжких и (или) особо тяжких преступлений против жизни, здоровья, половой свободы личности.</w:t>
      </w:r>
      <w:proofErr w:type="gramEnd"/>
      <w:r>
        <w:rPr>
          <w:rFonts w:ascii="Arial" w:hAnsi="Arial" w:cs="Arial"/>
          <w:color w:val="222222"/>
        </w:rPr>
        <w:t xml:space="preserve"> Данные положения позволят своевременно выявлять несовершеннолетних, подверженных риску стать жертвой преступления, либо уже подвергшихся насилию, организовать проведение необходимых реабилитационных мероприятий и психологической помощи.</w:t>
      </w:r>
    </w:p>
    <w:p w:rsidR="00DD318D" w:rsidRDefault="00DD318D" w:rsidP="00DD318D">
      <w:pPr>
        <w:pStyle w:val="a4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 Магаданской области принят Закон «О наставничестве в сфере профилактики безнадзорности и правонарушений несовершеннолетних» для решения проблем беспризорности детей, коррекции асоциального, </w:t>
      </w:r>
      <w:proofErr w:type="spellStart"/>
      <w:r>
        <w:rPr>
          <w:rFonts w:ascii="Arial" w:hAnsi="Arial" w:cs="Arial"/>
          <w:color w:val="222222"/>
        </w:rPr>
        <w:t>девиантного</w:t>
      </w:r>
      <w:proofErr w:type="spellEnd"/>
      <w:r>
        <w:rPr>
          <w:rFonts w:ascii="Arial" w:hAnsi="Arial" w:cs="Arial"/>
          <w:color w:val="222222"/>
        </w:rPr>
        <w:t xml:space="preserve"> поведения подростков, снижения уровня правонарушений и антиобщественных действий, совершаемых несовершеннолетними.</w:t>
      </w:r>
    </w:p>
    <w:p w:rsidR="00DD318D" w:rsidRDefault="00DD318D" w:rsidP="00DD318D">
      <w:pPr>
        <w:pStyle w:val="a4"/>
        <w:shd w:val="clear" w:color="auto" w:fill="FFFFFF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По предложению прокуратуры Амурской области в Законе «О мерах</w:t>
      </w:r>
      <w:r>
        <w:rPr>
          <w:rFonts w:ascii="Arial" w:hAnsi="Arial" w:cs="Arial"/>
          <w:color w:val="222222"/>
        </w:rPr>
        <w:br/>
        <w:t>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>
        <w:rPr>
          <w:rFonts w:ascii="Arial" w:hAnsi="Arial" w:cs="Arial"/>
          <w:color w:val="222222"/>
        </w:rPr>
        <w:br/>
        <w:t>к местам, в которых не допускается нахождение детей в ночное время</w:t>
      </w:r>
      <w:r>
        <w:rPr>
          <w:rFonts w:ascii="Arial" w:hAnsi="Arial" w:cs="Arial"/>
          <w:color w:val="222222"/>
        </w:rPr>
        <w:br/>
        <w:t xml:space="preserve">без сопровождения родителей, отнесены объекты торговли и общественного питания, досуга, где предусмотрена розничная продажа табачных изделий, кальянов и (или) устройств для потребления </w:t>
      </w:r>
      <w:proofErr w:type="spellStart"/>
      <w:r>
        <w:rPr>
          <w:rFonts w:ascii="Arial" w:hAnsi="Arial" w:cs="Arial"/>
          <w:color w:val="222222"/>
        </w:rPr>
        <w:t>никотинсодержащей</w:t>
      </w:r>
      <w:proofErr w:type="spellEnd"/>
      <w:r>
        <w:rPr>
          <w:rFonts w:ascii="Arial" w:hAnsi="Arial" w:cs="Arial"/>
          <w:color w:val="222222"/>
        </w:rPr>
        <w:t xml:space="preserve"> продукции.</w:t>
      </w:r>
      <w:proofErr w:type="gramEnd"/>
    </w:p>
    <w:p w:rsidR="00DD318D" w:rsidRDefault="00DD318D" w:rsidP="00DD318D">
      <w:pPr>
        <w:pStyle w:val="a4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 Закаменском, </w:t>
      </w:r>
      <w:proofErr w:type="spellStart"/>
      <w:r>
        <w:rPr>
          <w:rFonts w:ascii="Arial" w:hAnsi="Arial" w:cs="Arial"/>
          <w:color w:val="222222"/>
        </w:rPr>
        <w:t>Кабанском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Муйском</w:t>
      </w:r>
      <w:proofErr w:type="spellEnd"/>
      <w:r>
        <w:rPr>
          <w:rFonts w:ascii="Arial" w:hAnsi="Arial" w:cs="Arial"/>
          <w:color w:val="222222"/>
        </w:rPr>
        <w:t xml:space="preserve"> и </w:t>
      </w:r>
      <w:proofErr w:type="gramStart"/>
      <w:r>
        <w:rPr>
          <w:rFonts w:ascii="Arial" w:hAnsi="Arial" w:cs="Arial"/>
          <w:color w:val="222222"/>
        </w:rPr>
        <w:t>Прибайкальском</w:t>
      </w:r>
      <w:proofErr w:type="gramEnd"/>
      <w:r>
        <w:rPr>
          <w:rFonts w:ascii="Arial" w:hAnsi="Arial" w:cs="Arial"/>
          <w:color w:val="222222"/>
        </w:rPr>
        <w:t xml:space="preserve"> районах Республики Бурятия по инициативе прокуратуры приняты 45 правовых актов, предусматривающих порядок и условия предоставления в аренду муниципального имущества. Администрациями 10 сельских поселений Прибайкальского района утверждены перечни указанного имущества.</w:t>
      </w:r>
    </w:p>
    <w:p w:rsidR="00C35032" w:rsidRDefault="00C35032"/>
    <w:sectPr w:rsidR="00C35032" w:rsidSect="00C3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18D"/>
    <w:rsid w:val="00C35032"/>
    <w:rsid w:val="00DD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31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2024-10-14T07:39:00Z</dcterms:created>
  <dcterms:modified xsi:type="dcterms:W3CDTF">2024-10-14T07:42:00Z</dcterms:modified>
</cp:coreProperties>
</file>